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</w:pPr>
      <w:r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Nimbus Roman No9 L" w:hAnsi="Nimbus Roman No9 L" w:eastAsia="方正小标宋简体" w:cs="Nimbus Roman No9 L"/>
          <w:sz w:val="52"/>
          <w:szCs w:val="52"/>
        </w:rPr>
      </w:pPr>
      <w:r>
        <w:rPr>
          <w:rFonts w:hint="default" w:ascii="Nimbus Roman No9 L" w:hAnsi="Nimbus Roman No9 L" w:eastAsia="方正小标宋简体" w:cs="Nimbus Roman No9 L"/>
          <w:sz w:val="52"/>
          <w:szCs w:val="52"/>
        </w:rPr>
        <w:t>专利侵权纠纷行政裁决规范化建设试点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Nimbus Roman No9 L" w:hAnsi="Nimbus Roman No9 L" w:eastAsia="方正小标宋简体" w:cs="Nimbus Roman No9 L"/>
          <w:sz w:val="52"/>
          <w:szCs w:val="52"/>
        </w:rPr>
      </w:pPr>
      <w:r>
        <w:rPr>
          <w:rFonts w:hint="default" w:ascii="Nimbus Roman No9 L" w:hAnsi="Nimbus Roman No9 L" w:eastAsia="方正小标宋简体" w:cs="Nimbus Roman No9 L"/>
          <w:sz w:val="52"/>
          <w:szCs w:val="52"/>
        </w:rPr>
        <w:t>申 报 书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default" w:ascii="Nimbus Roman No9 L" w:hAnsi="Nimbus Roman No9 L" w:eastAsia="楷体_GB2312" w:cs="Nimbus Roman No9 L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sz w:val="32"/>
          <w:szCs w:val="32"/>
        </w:rPr>
        <w:t>申报单位：</w:t>
      </w:r>
      <w:r>
        <w:rPr>
          <w:rFonts w:hint="default" w:ascii="Nimbus Roman No9 L" w:hAnsi="Nimbus Roman No9 L" w:eastAsia="楷体_GB2312" w:cs="Nimbus Roman No9 L"/>
          <w:sz w:val="32"/>
          <w:szCs w:val="32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 xml:space="preserve">国家知识产权局 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  <w:lang w:eastAsia="zh-CN"/>
        </w:rPr>
        <w:t>司法部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编制</w:t>
      </w: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cs="Nimbus Roman No9 L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2022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年  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cs="Nimbus Roman No9 L"/>
        </w:rPr>
        <w:br w:type="page"/>
      </w:r>
      <w:r>
        <w:rPr>
          <w:rFonts w:hint="default" w:ascii="Nimbus Roman No9 L" w:hAnsi="Nimbus Roman No9 L" w:eastAsia="黑体" w:cs="Nimbus Roman No9 L"/>
          <w:sz w:val="32"/>
          <w:szCs w:val="32"/>
        </w:rPr>
        <w:t>一、基本信息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2835"/>
        <w:gridCol w:w="1587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（知识产权局）</w:t>
            </w:r>
          </w:p>
        </w:tc>
        <w:tc>
          <w:tcPr>
            <w:tcW w:w="7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负 责 人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传真号码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邮    箱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邮    编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7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二、工作基础和条件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3"/>
        <w:gridCol w:w="1298"/>
        <w:gridCol w:w="3260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现有专利侵权纠纷行政裁决机构数量（个）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现有专利侵权纠纷行政裁决人员总数（人）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年专利侵权纠纷裁决案件数量（件），其中作出行政裁决书（份）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年入选全国典型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案例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的专利侵权纠纷案件数（件）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现有口头审理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eastAsia="zh-CN"/>
              </w:rPr>
              <w:t>庭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数量（个）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年专利侵权纠纷行政裁决软硬件资金投入（万元）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年每年开展专利侵权纠纷行政裁决集中培训  次数（场次）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年每年开展普法宣传数（场次）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072" w:type="dxa"/>
            <w:gridSpan w:val="4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（写明近年来专利侵权纠纷行政裁决工作开展情况，包括制度建设、软硬件保障、案件办理数量质量、人员队伍建设及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eastAsia="zh-CN"/>
              </w:rPr>
              <w:t>行政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司法衔接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eastAsia="zh-CN"/>
              </w:rPr>
              <w:t>情况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等，以及其他创新性举措。）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三、工作目标和思路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（写明专利侵权纠纷行政裁决规范化建设工作目标、思路以及拟采取的工作措施。）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四、工作进度与预期阶段成果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（列出试点工作的进度安排和预期阶段成果。试点时间为期两年，从</w:t>
            </w:r>
            <w:bookmarkStart w:id="0" w:name="_GoBack"/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2022年6月到2024年6月</w:t>
            </w:r>
            <w:bookmarkEnd w:id="0"/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 w:ascii="Nimbus Roman No9 L" w:hAnsi="Nimbus Roman No9 L" w:eastAsia="黑体" w:cs="Nimbus Roman No9 L"/>
        </w:rPr>
      </w:pPr>
      <w:r>
        <w:rPr>
          <w:rFonts w:hint="default" w:ascii="Nimbus Roman No9 L" w:hAnsi="Nimbus Roman No9 L" w:eastAsia="黑体" w:cs="Nimbus Roman No9 L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五、保障措施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8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（列出组织机构、资金、人才、软硬件等保障措施。）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六、申报单位意见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5" w:hRule="atLeast"/>
          <w:jc w:val="center"/>
        </w:trPr>
        <w:tc>
          <w:tcPr>
            <w:tcW w:w="88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before="120" w:after="120"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负责人（签字）：               单位（盖章）：</w:t>
            </w:r>
          </w:p>
          <w:p>
            <w:pPr>
              <w:spacing w:before="120" w:after="120"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 xml:space="preserve">                              年     月   日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Nimbus Roman No9 L" w:hAnsi="Nimbus Roman No9 L" w:eastAsia="方正小标宋简体" w:cs="Nimbus Roman No9 L"/>
          <w:w w:val="100"/>
          <w:kern w:val="2"/>
          <w:sz w:val="32"/>
          <w:szCs w:val="32"/>
        </w:rPr>
      </w:pP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